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008DE" w:rsidR="008008DE" w:rsidP="008008DE" w:rsidRDefault="008008DE" w14:paraId="61B29CD7" w14:textId="4EC751E1">
      <w:pPr>
        <w:jc w:val="center"/>
        <w:rPr>
          <w:b w:val="1"/>
          <w:bCs w:val="1"/>
          <w:sz w:val="32"/>
          <w:szCs w:val="32"/>
        </w:rPr>
      </w:pPr>
      <w:bookmarkStart w:name="_Toc177918520" w:id="0"/>
      <w:r w:rsidRPr="482A3273" w:rsidR="008008DE">
        <w:rPr>
          <w:b w:val="1"/>
          <w:bCs w:val="1"/>
          <w:sz w:val="32"/>
          <w:szCs w:val="32"/>
        </w:rPr>
        <w:t xml:space="preserve">ITAP </w:t>
      </w:r>
      <w:r w:rsidRPr="482A3273" w:rsidR="57695151">
        <w:rPr>
          <w:b w:val="1"/>
          <w:bCs w:val="1"/>
          <w:sz w:val="32"/>
          <w:szCs w:val="32"/>
        </w:rPr>
        <w:t xml:space="preserve">template </w:t>
      </w:r>
      <w:r w:rsidRPr="482A3273" w:rsidR="008008DE">
        <w:rPr>
          <w:b w:val="1"/>
          <w:bCs w:val="1"/>
          <w:sz w:val="32"/>
          <w:szCs w:val="32"/>
        </w:rPr>
        <w:t>1 (primary)</w:t>
      </w:r>
      <w:r w:rsidRPr="482A3273" w:rsidR="008008DE">
        <w:rPr>
          <w:b w:val="1"/>
          <w:bCs w:val="1"/>
          <w:sz w:val="32"/>
          <w:szCs w:val="32"/>
        </w:rPr>
        <w:t>: Set tasks supporting engagement with the literature</w:t>
      </w:r>
      <w:bookmarkEnd w:id="0"/>
      <w:r w:rsidRPr="482A3273" w:rsidR="008008DE">
        <w:rPr>
          <w:b w:val="1"/>
          <w:bCs w:val="1"/>
          <w:sz w:val="32"/>
          <w:szCs w:val="32"/>
        </w:rPr>
        <w:t xml:space="preserve"> </w:t>
      </w:r>
    </w:p>
    <w:p w:rsidR="008008DE" w:rsidP="008008DE" w:rsidRDefault="008008DE" w14:paraId="1C37D5B3" w14:textId="020B2021">
      <w:pPr>
        <w:spacing w:before="200"/>
        <w:jc w:val="left"/>
        <w:rPr>
          <w:color w:val="000000" w:themeColor="text1"/>
        </w:rPr>
      </w:pPr>
      <w:r w:rsidRPr="78720E61" w:rsidR="008008DE">
        <w:rPr>
          <w:color w:val="000000" w:themeColor="text1" w:themeTint="FF" w:themeShade="FF"/>
        </w:rPr>
        <w:t>Read the fo</w:t>
      </w:r>
      <w:r w:rsidRPr="78720E61" w:rsidR="772A2849">
        <w:rPr>
          <w:color w:val="000000" w:themeColor="text1" w:themeTint="FF" w:themeShade="FF"/>
        </w:rPr>
        <w:t>+</w:t>
      </w:r>
      <w:r w:rsidRPr="78720E61" w:rsidR="008008DE">
        <w:rPr>
          <w:color w:val="000000" w:themeColor="text1" w:themeTint="FF" w:themeShade="FF"/>
        </w:rPr>
        <w:t xml:space="preserve">llowing literature which can be accessed via </w:t>
      </w:r>
      <w:r w:rsidRPr="78720E61" w:rsidR="008008DE">
        <w:rPr>
          <w:color w:val="000000" w:themeColor="text1" w:themeTint="FF" w:themeShade="FF"/>
        </w:rPr>
        <w:t>Library@Brunel</w:t>
      </w:r>
      <w:r w:rsidRPr="78720E61" w:rsidR="008008DE">
        <w:rPr>
          <w:color w:val="000000" w:themeColor="text1" w:themeTint="FF" w:themeShade="FF"/>
        </w:rPr>
        <w:t xml:space="preserve"> </w:t>
      </w:r>
      <w:r w:rsidRPr="78720E61" w:rsidR="008008DE">
        <w:rPr>
          <w:color w:val="000000" w:themeColor="text1" w:themeTint="FF" w:themeShade="FF"/>
        </w:rPr>
        <w:t xml:space="preserve">and then also </w:t>
      </w:r>
      <w:r w:rsidRPr="78720E61" w:rsidR="008008DE">
        <w:rPr>
          <w:color w:val="000000" w:themeColor="text1" w:themeTint="FF" w:themeShade="FF"/>
        </w:rPr>
        <w:t>engage</w:t>
      </w:r>
      <w:r w:rsidRPr="78720E61" w:rsidR="008008DE">
        <w:rPr>
          <w:color w:val="000000" w:themeColor="text1" w:themeTint="FF" w:themeShade="FF"/>
        </w:rPr>
        <w:t xml:space="preserve"> with wider readings. Reflect upon the key points in the table below:</w:t>
      </w:r>
    </w:p>
    <w:p w:rsidRPr="008008DE" w:rsidR="008008DE" w:rsidP="008008DE" w:rsidRDefault="008008DE" w14:paraId="250DF597" w14:textId="77777777">
      <w:pPr>
        <w:spacing w:after="0"/>
        <w:ind w:left="567" w:hanging="567"/>
        <w:jc w:val="left"/>
        <w:rPr>
          <w:b/>
          <w:bCs/>
          <w:i/>
          <w:iCs/>
        </w:rPr>
      </w:pPr>
      <w:r w:rsidRPr="008008DE">
        <w:rPr>
          <w:b/>
          <w:bCs/>
          <w:i/>
          <w:iCs/>
        </w:rPr>
        <w:t>Read the whole article</w:t>
      </w:r>
    </w:p>
    <w:p w:rsidR="008008DE" w:rsidP="008008DE" w:rsidRDefault="008008DE" w14:paraId="23937939" w14:textId="77777777">
      <w:pPr>
        <w:spacing w:after="0"/>
        <w:ind w:left="567" w:hanging="567"/>
        <w:jc w:val="left"/>
      </w:pPr>
      <w:proofErr w:type="spellStart"/>
      <w:r w:rsidRPr="13042EDA">
        <w:t>Argyropulo</w:t>
      </w:r>
      <w:proofErr w:type="spellEnd"/>
      <w:r w:rsidRPr="13042EDA">
        <w:t xml:space="preserve">-Palmer, A.-M. (2022) </w:t>
      </w:r>
      <w:r w:rsidRPr="13042EDA">
        <w:rPr>
          <w:i/>
          <w:iCs/>
        </w:rPr>
        <w:t xml:space="preserve">Exploring the evidence base: The role of routines in creating an </w:t>
      </w:r>
    </w:p>
    <w:p w:rsidR="008008DE" w:rsidP="008008DE" w:rsidRDefault="008008DE" w14:paraId="6B9E519A" w14:textId="77777777">
      <w:pPr>
        <w:spacing w:after="0"/>
        <w:ind w:left="567" w:hanging="567"/>
        <w:jc w:val="left"/>
      </w:pPr>
      <w:r w:rsidRPr="13042EDA">
        <w:rPr>
          <w:i/>
          <w:iCs/>
        </w:rPr>
        <w:t>effective learning environment</w:t>
      </w:r>
      <w:r w:rsidRPr="13042EDA">
        <w:t xml:space="preserve">, </w:t>
      </w:r>
      <w:r w:rsidRPr="13042EDA">
        <w:rPr>
          <w:i/>
          <w:iCs/>
        </w:rPr>
        <w:t>My College</w:t>
      </w:r>
      <w:r w:rsidRPr="13042EDA">
        <w:t xml:space="preserve">. Available at: </w:t>
      </w:r>
    </w:p>
    <w:p w:rsidR="008008DE" w:rsidP="008008DE" w:rsidRDefault="008008DE" w14:paraId="33AD6F3E" w14:textId="77777777">
      <w:pPr>
        <w:spacing w:after="0"/>
        <w:ind w:left="567" w:hanging="567"/>
      </w:pPr>
      <w:hyperlink w:history="1" r:id="rId4">
        <w:r w:rsidRPr="001F6C8A">
          <w:rPr>
            <w:rStyle w:val="Hyperlink"/>
          </w:rPr>
          <w:t>https://my.chartered.college/impact_article/exploring-the-evidence-base-the-role-of-routines-in creating-an-effective-learning-environment/</w:t>
        </w:r>
      </w:hyperlink>
      <w:r w:rsidRPr="13042EDA">
        <w:t xml:space="preserve"> (Accessed: </w:t>
      </w:r>
      <w:r>
        <w:t>11.6.24).</w:t>
      </w:r>
    </w:p>
    <w:p w:rsidR="008008DE" w:rsidP="008008DE" w:rsidRDefault="008008DE" w14:paraId="1F915F63" w14:textId="77777777">
      <w:pPr>
        <w:spacing w:after="0"/>
        <w:ind w:left="567" w:hanging="567"/>
        <w:jc w:val="left"/>
      </w:pPr>
    </w:p>
    <w:p w:rsidRPr="008008DE" w:rsidR="008008DE" w:rsidP="008008DE" w:rsidRDefault="008008DE" w14:paraId="270525D8" w14:textId="77777777">
      <w:pPr>
        <w:spacing w:after="0"/>
        <w:ind w:left="567" w:hanging="567"/>
        <w:jc w:val="left"/>
        <w:rPr>
          <w:b/>
          <w:bCs/>
          <w:i/>
          <w:iCs/>
        </w:rPr>
      </w:pPr>
      <w:r w:rsidRPr="008008DE">
        <w:rPr>
          <w:b/>
          <w:bCs/>
          <w:i/>
          <w:iCs/>
        </w:rPr>
        <w:t>Read pages 204-208</w:t>
      </w:r>
    </w:p>
    <w:p w:rsidR="008008DE" w:rsidP="008008DE" w:rsidRDefault="008008DE" w14:paraId="0B8990E2" w14:textId="2D68296C">
      <w:r>
        <w:t xml:space="preserve">Dawes, L. (2018) ‘Organising Effective Classroom Talk’, in </w:t>
      </w:r>
      <w:proofErr w:type="spellStart"/>
      <w:r>
        <w:t>Cremin</w:t>
      </w:r>
      <w:proofErr w:type="spellEnd"/>
      <w:r>
        <w:t>, T. and Burnett, C. (eds) L</w:t>
      </w:r>
      <w:r w:rsidRPr="3CCFFDAC">
        <w:rPr>
          <w:i/>
          <w:iCs/>
        </w:rPr>
        <w:t>earning to</w:t>
      </w:r>
      <w:r>
        <w:rPr>
          <w:i/>
          <w:iCs/>
        </w:rPr>
        <w:t xml:space="preserve"> </w:t>
      </w:r>
      <w:r w:rsidRPr="0060178F">
        <w:t>teach</w:t>
      </w:r>
      <w:r w:rsidRPr="3CCFFDAC">
        <w:rPr>
          <w:i/>
          <w:iCs/>
        </w:rPr>
        <w:t xml:space="preserve"> in the primary school</w:t>
      </w:r>
      <w:r>
        <w:t xml:space="preserve">. London: Routledge, Taylor &amp; Francis Group, pp. 203–215. </w:t>
      </w:r>
      <w:hyperlink w:history="1" r:id="rId5">
        <w:r w:rsidRPr="0056195D">
          <w:rPr>
            <w:rStyle w:val="Hyperlink"/>
          </w:rPr>
          <w:t>https://go.exlibris.link/LGVbxlKP</w:t>
        </w:r>
      </w:hyperlink>
      <w:r>
        <w:t xml:space="preserve"> </w:t>
      </w:r>
    </w:p>
    <w:p w:rsidR="008008DE" w:rsidP="008008DE" w:rsidRDefault="008008DE" w14:paraId="3787F788" w14:textId="77777777">
      <w:pPr>
        <w:spacing w:after="0"/>
        <w:ind w:left="567" w:hanging="567"/>
        <w:jc w:val="left"/>
        <w:rPr>
          <w:highlight w:val="cyan"/>
        </w:rPr>
      </w:pPr>
    </w:p>
    <w:p w:rsidRPr="008008DE" w:rsidR="008008DE" w:rsidP="008008DE" w:rsidRDefault="008008DE" w14:paraId="762FF68B" w14:textId="77777777">
      <w:pPr>
        <w:widowControl w:val="0"/>
        <w:spacing w:after="0"/>
        <w:jc w:val="left"/>
        <w:rPr>
          <w:b/>
          <w:bCs/>
          <w:i/>
          <w:iCs/>
        </w:rPr>
      </w:pPr>
      <w:r w:rsidRPr="008008DE">
        <w:rPr>
          <w:b/>
          <w:bCs/>
          <w:i/>
          <w:iCs/>
        </w:rPr>
        <w:t>Read pages 65-70</w:t>
      </w:r>
    </w:p>
    <w:p w:rsidR="008008DE" w:rsidP="008008DE" w:rsidRDefault="008008DE" w14:paraId="2912200B" w14:textId="24085A81">
      <w:pPr>
        <w:widowControl w:val="0"/>
        <w:spacing w:after="0"/>
        <w:jc w:val="left"/>
      </w:pPr>
      <w:r w:rsidRPr="13042EDA">
        <w:t xml:space="preserve">Kern, L. and Clemens, N.H. (2006) ‘Antecedent strategies to promote appropriate classroom </w:t>
      </w:r>
      <w:proofErr w:type="spellStart"/>
      <w:r w:rsidRPr="13042EDA">
        <w:t>behavior</w:t>
      </w:r>
      <w:proofErr w:type="spellEnd"/>
      <w:r w:rsidRPr="13042EDA">
        <w:t>’, Psychology in the Schools, 44(1), pp. 65–75. doi:10.1002/pits.20206.</w:t>
      </w:r>
      <w:r>
        <w:t xml:space="preserve"> </w:t>
      </w:r>
      <w:hyperlink w:history="1" r:id="rId6">
        <w:r w:rsidRPr="0056195D">
          <w:rPr>
            <w:rStyle w:val="Hyperlink"/>
          </w:rPr>
          <w:t>https://go.exlibris.link/Gr3y4m5w</w:t>
        </w:r>
      </w:hyperlink>
      <w:r>
        <w:t xml:space="preserve"> </w:t>
      </w:r>
    </w:p>
    <w:p w:rsidR="008008DE" w:rsidP="008008DE" w:rsidRDefault="008008DE" w14:paraId="37640EE7" w14:textId="77777777"/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9015"/>
      </w:tblGrid>
      <w:tr w:rsidR="008008DE" w:rsidTr="0010621B" w14:paraId="53730E9B" w14:textId="77777777">
        <w:trPr>
          <w:trHeight w:val="300"/>
        </w:trPr>
        <w:tc>
          <w:tcPr>
            <w:tcW w:w="9015" w:type="dxa"/>
            <w:tcBorders>
              <w:top w:val="single" w:color="auto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008008DE" w:rsidP="0010621B" w:rsidRDefault="008008DE" w14:paraId="149C83A5" w14:textId="77777777">
            <w:pPr>
              <w:jc w:val="left"/>
              <w:rPr>
                <w:b/>
                <w:bCs/>
                <w:color w:val="000000" w:themeColor="text1"/>
              </w:rPr>
            </w:pPr>
            <w:r w:rsidRPr="13042EDA">
              <w:rPr>
                <w:b/>
                <w:bCs/>
                <w:color w:val="000000" w:themeColor="text1"/>
              </w:rPr>
              <w:t>What constitutes a proactive approach to establishing a positive learning environment?</w:t>
            </w:r>
          </w:p>
        </w:tc>
      </w:tr>
      <w:tr w:rsidR="008008DE" w:rsidTr="0010621B" w14:paraId="6A6AFF44" w14:textId="77777777">
        <w:trPr>
          <w:trHeight w:val="300"/>
        </w:trPr>
        <w:tc>
          <w:tcPr>
            <w:tcW w:w="9015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>
              <w:left w:w="105" w:type="dxa"/>
              <w:right w:w="105" w:type="dxa"/>
            </w:tcMar>
          </w:tcPr>
          <w:p w:rsidR="008008DE" w:rsidP="0010621B" w:rsidRDefault="008008DE" w14:paraId="00043CF5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3DA34504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3B9B8545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58546F19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3A36F36A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69250179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4BB6623D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2EE38B7D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8008DE" w:rsidTr="0010621B" w14:paraId="3096E1BD" w14:textId="77777777">
        <w:trPr>
          <w:trHeight w:val="300"/>
        </w:trPr>
        <w:tc>
          <w:tcPr>
            <w:tcW w:w="9015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008008DE" w:rsidP="0010621B" w:rsidRDefault="008008DE" w14:paraId="25CFD123" w14:textId="77777777">
            <w:pPr>
              <w:rPr>
                <w:b/>
                <w:bCs/>
                <w:color w:val="000000" w:themeColor="text1"/>
              </w:rPr>
            </w:pPr>
            <w:r w:rsidRPr="3F158AD6">
              <w:rPr>
                <w:b/>
                <w:bCs/>
                <w:color w:val="000000" w:themeColor="text1"/>
              </w:rPr>
              <w:t xml:space="preserve">What routines could be used to structure talk for different purposes and how might such routines be established? </w:t>
            </w:r>
          </w:p>
        </w:tc>
      </w:tr>
      <w:tr w:rsidR="008008DE" w:rsidTr="0010621B" w14:paraId="0C9DFF5F" w14:textId="77777777">
        <w:trPr>
          <w:trHeight w:val="300"/>
        </w:trPr>
        <w:tc>
          <w:tcPr>
            <w:tcW w:w="9015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>
              <w:left w:w="105" w:type="dxa"/>
              <w:right w:w="105" w:type="dxa"/>
            </w:tcMar>
          </w:tcPr>
          <w:p w:rsidR="008008DE" w:rsidP="0010621B" w:rsidRDefault="008008DE" w14:paraId="275EE814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7EFA07A0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lastRenderedPageBreak/>
              <w:t xml:space="preserve"> </w:t>
            </w:r>
          </w:p>
          <w:p w:rsidR="008008DE" w:rsidP="0010621B" w:rsidRDefault="008008DE" w14:paraId="59038673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7749D73F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66D3742F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591D2948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4EC592CF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8008DE" w:rsidTr="0010621B" w14:paraId="414A2B25" w14:textId="77777777">
        <w:trPr>
          <w:trHeight w:val="300"/>
        </w:trPr>
        <w:tc>
          <w:tcPr>
            <w:tcW w:w="9015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008008DE" w:rsidP="0010621B" w:rsidRDefault="008008DE" w14:paraId="245A8FC4" w14:textId="77777777">
            <w:pPr>
              <w:rPr>
                <w:b/>
                <w:bCs/>
                <w:color w:val="000000" w:themeColor="text1"/>
              </w:rPr>
            </w:pPr>
            <w:r w:rsidRPr="13042EDA">
              <w:rPr>
                <w:b/>
                <w:bCs/>
                <w:color w:val="000000" w:themeColor="text1"/>
              </w:rPr>
              <w:lastRenderedPageBreak/>
              <w:t>How might we balance taking an authoritative approach to managing behaviour with the creation of positive environments where children are supported in learning how to learn?</w:t>
            </w:r>
          </w:p>
        </w:tc>
      </w:tr>
      <w:tr w:rsidR="008008DE" w:rsidTr="0010621B" w14:paraId="4AE7C857" w14:textId="77777777">
        <w:trPr>
          <w:trHeight w:val="300"/>
        </w:trPr>
        <w:tc>
          <w:tcPr>
            <w:tcW w:w="9015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>
              <w:left w:w="105" w:type="dxa"/>
              <w:right w:w="105" w:type="dxa"/>
            </w:tcMar>
          </w:tcPr>
          <w:p w:rsidR="008008DE" w:rsidP="0010621B" w:rsidRDefault="008008DE" w14:paraId="5565F538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437D49D3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3885ED62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04F09841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1D0DAC50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30984378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5C61143B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1351F9C5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8008DE" w:rsidTr="0010621B" w14:paraId="74FA8221" w14:textId="77777777">
        <w:trPr>
          <w:trHeight w:val="300"/>
        </w:trPr>
        <w:tc>
          <w:tcPr>
            <w:tcW w:w="9015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008008DE" w:rsidP="0010621B" w:rsidRDefault="008008DE" w14:paraId="38FDA046" w14:textId="77777777">
            <w:pPr>
              <w:jc w:val="left"/>
            </w:pPr>
            <w:r w:rsidRPr="70139207">
              <w:rPr>
                <w:b/>
                <w:bCs/>
                <w:color w:val="000000" w:themeColor="text1"/>
              </w:rPr>
              <w:t>Key learning point 1</w:t>
            </w:r>
          </w:p>
        </w:tc>
      </w:tr>
      <w:tr w:rsidR="008008DE" w:rsidTr="0010621B" w14:paraId="06FF04D4" w14:textId="77777777">
        <w:trPr>
          <w:trHeight w:val="300"/>
        </w:trPr>
        <w:tc>
          <w:tcPr>
            <w:tcW w:w="9015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>
              <w:left w:w="105" w:type="dxa"/>
              <w:right w:w="105" w:type="dxa"/>
            </w:tcMar>
          </w:tcPr>
          <w:p w:rsidR="008008DE" w:rsidP="0010621B" w:rsidRDefault="008008DE" w14:paraId="495F30FC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63E71D45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345AC538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194CD76D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33F14185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496B6BC0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391175D3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6DE1E7A8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0E81073A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8008DE" w:rsidTr="0010621B" w14:paraId="566A76BE" w14:textId="77777777">
        <w:trPr>
          <w:trHeight w:val="300"/>
        </w:trPr>
        <w:tc>
          <w:tcPr>
            <w:tcW w:w="9015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008008DE" w:rsidP="0010621B" w:rsidRDefault="008008DE" w14:paraId="0068FACF" w14:textId="77777777">
            <w:pPr>
              <w:spacing w:line="257" w:lineRule="auto"/>
            </w:pPr>
            <w:r w:rsidRPr="70139207">
              <w:rPr>
                <w:b/>
                <w:bCs/>
                <w:color w:val="000000" w:themeColor="text1"/>
                <w:lang w:val="en-US"/>
              </w:rPr>
              <w:t>Key learning point 2</w:t>
            </w:r>
          </w:p>
        </w:tc>
      </w:tr>
      <w:tr w:rsidR="008008DE" w:rsidTr="0010621B" w14:paraId="7C024057" w14:textId="77777777">
        <w:trPr>
          <w:trHeight w:val="300"/>
        </w:trPr>
        <w:tc>
          <w:tcPr>
            <w:tcW w:w="9015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>
              <w:left w:w="105" w:type="dxa"/>
              <w:right w:w="105" w:type="dxa"/>
            </w:tcMar>
          </w:tcPr>
          <w:p w:rsidR="008008DE" w:rsidP="0010621B" w:rsidRDefault="008008DE" w14:paraId="4D5A42EC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1AC62F2E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lastRenderedPageBreak/>
              <w:t xml:space="preserve"> </w:t>
            </w:r>
          </w:p>
          <w:p w:rsidR="008008DE" w:rsidP="0010621B" w:rsidRDefault="008008DE" w14:paraId="400CAA37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40EAC3CA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096604FD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29DA00E7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2B617117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543C4AA8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2808FDED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8008DE" w:rsidTr="0010621B" w14:paraId="16D908F0" w14:textId="77777777">
        <w:trPr>
          <w:trHeight w:val="300"/>
        </w:trPr>
        <w:tc>
          <w:tcPr>
            <w:tcW w:w="9015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008008DE" w:rsidP="0010621B" w:rsidRDefault="008008DE" w14:paraId="7D6B423D" w14:textId="77777777">
            <w:pPr>
              <w:spacing w:line="257" w:lineRule="auto"/>
            </w:pPr>
            <w:r w:rsidRPr="70139207">
              <w:rPr>
                <w:b/>
                <w:bCs/>
                <w:color w:val="000000" w:themeColor="text1"/>
                <w:lang w:val="en-US"/>
              </w:rPr>
              <w:lastRenderedPageBreak/>
              <w:t>Key learning point 3</w:t>
            </w:r>
          </w:p>
        </w:tc>
      </w:tr>
      <w:tr w:rsidR="008008DE" w:rsidTr="0010621B" w14:paraId="34DD19F1" w14:textId="77777777">
        <w:trPr>
          <w:trHeight w:val="300"/>
        </w:trPr>
        <w:tc>
          <w:tcPr>
            <w:tcW w:w="9015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>
              <w:left w:w="105" w:type="dxa"/>
              <w:right w:w="105" w:type="dxa"/>
            </w:tcMar>
          </w:tcPr>
          <w:p w:rsidR="008008DE" w:rsidP="0010621B" w:rsidRDefault="008008DE" w14:paraId="1F388C85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5773A009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09CF4B52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7089384A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5B41753A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793B2622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6D32CE0D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5117B18C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15032632" w14:textId="77777777">
            <w:pPr>
              <w:spacing w:line="257" w:lineRule="auto"/>
            </w:pPr>
          </w:p>
        </w:tc>
      </w:tr>
      <w:tr w:rsidR="008008DE" w:rsidTr="0010621B" w14:paraId="21FC8844" w14:textId="77777777">
        <w:trPr>
          <w:trHeight w:val="300"/>
        </w:trPr>
        <w:tc>
          <w:tcPr>
            <w:tcW w:w="9015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008008DE" w:rsidP="0010621B" w:rsidRDefault="008008DE" w14:paraId="2138FADC" w14:textId="77777777">
            <w:r w:rsidRPr="70139207">
              <w:rPr>
                <w:b/>
                <w:bCs/>
                <w:color w:val="000000" w:themeColor="text1"/>
              </w:rPr>
              <w:t>Two things I will apply to my practice</w:t>
            </w:r>
          </w:p>
        </w:tc>
      </w:tr>
      <w:tr w:rsidR="008008DE" w:rsidTr="0010621B" w14:paraId="1E8632D4" w14:textId="77777777">
        <w:trPr>
          <w:trHeight w:val="300"/>
        </w:trPr>
        <w:tc>
          <w:tcPr>
            <w:tcW w:w="9015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>
              <w:left w:w="105" w:type="dxa"/>
              <w:right w:w="105" w:type="dxa"/>
            </w:tcMar>
          </w:tcPr>
          <w:p w:rsidR="008008DE" w:rsidP="0010621B" w:rsidRDefault="008008DE" w14:paraId="700450F9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1)</w:t>
            </w:r>
          </w:p>
          <w:p w:rsidR="008008DE" w:rsidP="0010621B" w:rsidRDefault="008008DE" w14:paraId="70A34A1A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435ECBFE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26C4B58D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2)</w:t>
            </w:r>
          </w:p>
          <w:p w:rsidR="008008DE" w:rsidP="0010621B" w:rsidRDefault="008008DE" w14:paraId="6375B9BD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3663677F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8008DE" w:rsidTr="0010621B" w14:paraId="6EA33352" w14:textId="77777777">
        <w:trPr>
          <w:trHeight w:val="300"/>
        </w:trPr>
        <w:tc>
          <w:tcPr>
            <w:tcW w:w="9015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008008DE" w:rsidP="0010621B" w:rsidRDefault="008008DE" w14:paraId="1D58B1A1" w14:textId="77777777">
            <w:r w:rsidRPr="2B63FB39">
              <w:rPr>
                <w:b/>
                <w:bCs/>
                <w:color w:val="000000" w:themeColor="text1"/>
              </w:rPr>
              <w:t xml:space="preserve">One question I have about the theory of establishing proactive routines with the aim of creating positive learning environments is... </w:t>
            </w:r>
          </w:p>
        </w:tc>
      </w:tr>
      <w:tr w:rsidR="008008DE" w:rsidTr="0010621B" w14:paraId="02A335F5" w14:textId="77777777">
        <w:trPr>
          <w:trHeight w:val="300"/>
        </w:trPr>
        <w:tc>
          <w:tcPr>
            <w:tcW w:w="9015" w:type="dxa"/>
            <w:tcBorders>
              <w:top w:val="single" w:color="000000" w:themeColor="text1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5" w:type="dxa"/>
              <w:right w:w="105" w:type="dxa"/>
            </w:tcMar>
          </w:tcPr>
          <w:p w:rsidR="008008DE" w:rsidP="0010621B" w:rsidRDefault="008008DE" w14:paraId="05F4B5B9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17EC2119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lastRenderedPageBreak/>
              <w:t xml:space="preserve"> </w:t>
            </w:r>
          </w:p>
          <w:p w:rsidR="008008DE" w:rsidP="0010621B" w:rsidRDefault="008008DE" w14:paraId="58BE79F9" w14:textId="77777777">
            <w:pPr>
              <w:spacing w:line="257" w:lineRule="auto"/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  <w:p w:rsidR="008008DE" w:rsidP="0010621B" w:rsidRDefault="008008DE" w14:paraId="1E5A20A6" w14:textId="77777777">
            <w:pPr>
              <w:spacing w:line="257" w:lineRule="auto"/>
              <w:rPr>
                <w:color w:val="000000" w:themeColor="text1"/>
                <w:lang w:val="en-US"/>
              </w:rPr>
            </w:pPr>
            <w:r w:rsidRPr="70139207">
              <w:rPr>
                <w:color w:val="000000" w:themeColor="text1"/>
                <w:lang w:val="en-US"/>
              </w:rPr>
              <w:t xml:space="preserve"> </w:t>
            </w:r>
          </w:p>
        </w:tc>
      </w:tr>
    </w:tbl>
    <w:p w:rsidR="00410F2D" w:rsidRDefault="00410F2D" w14:paraId="5778369E" w14:textId="77777777"/>
    <w:sectPr w:rsidR="00410F2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DE"/>
    <w:rsid w:val="000C1889"/>
    <w:rsid w:val="00410F2D"/>
    <w:rsid w:val="007546A5"/>
    <w:rsid w:val="008008DE"/>
    <w:rsid w:val="00CD7423"/>
    <w:rsid w:val="00F039A8"/>
    <w:rsid w:val="482A3273"/>
    <w:rsid w:val="57695151"/>
    <w:rsid w:val="772A2849"/>
    <w:rsid w:val="7872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F1BFD"/>
  <w15:chartTrackingRefBased/>
  <w15:docId w15:val="{D18155F7-03A0-124D-967D-B2D486EF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08DE"/>
    <w:pPr>
      <w:spacing w:after="200" w:line="276" w:lineRule="auto"/>
      <w:jc w:val="both"/>
    </w:pPr>
    <w:rPr>
      <w:rFonts w:eastAsia="Calibri" w:cs="Calibri"/>
      <w:kern w:val="0"/>
      <w:szCs w:val="22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8D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8D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008D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008D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008D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008D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008D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008D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008D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008D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00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8D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008D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00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8D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00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8D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00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8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8008DE"/>
    <w:pPr>
      <w:spacing w:after="0" w:line="240" w:lineRule="auto"/>
      <w:jc w:val="both"/>
    </w:pPr>
    <w:rPr>
      <w:rFonts w:ascii="Calibri" w:hAnsi="Calibri" w:eastAsia="Calibri" w:cs="Calibri"/>
      <w:kern w:val="0"/>
      <w:sz w:val="22"/>
      <w:szCs w:val="22"/>
      <w:lang w:eastAsia="ja-JP"/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008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go.exlibris.link/Gr3y4m5w" TargetMode="External" Id="rId6" /><Relationship Type="http://schemas.openxmlformats.org/officeDocument/2006/relationships/customXml" Target="../customXml/item3.xml" Id="rId11" /><Relationship Type="http://schemas.openxmlformats.org/officeDocument/2006/relationships/hyperlink" Target="https://go.exlibris.link/LGVbxlKP" TargetMode="External" Id="rId5" /><Relationship Type="http://schemas.openxmlformats.org/officeDocument/2006/relationships/customXml" Target="../customXml/item2.xml" Id="rId10" /><Relationship Type="http://schemas.openxmlformats.org/officeDocument/2006/relationships/hyperlink" Target="https://my.chartered.college/impact_article/exploring-the-evidence-base-the-role-of-routines-in%20creating-an-effective-learning-environment/" TargetMode="Externa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2DB27F984C34381E98037502E7CF8" ma:contentTypeVersion="13" ma:contentTypeDescription="Create a new document." ma:contentTypeScope="" ma:versionID="9049ed7f12f2f3633abd3ad33becd57b">
  <xsd:schema xmlns:xsd="http://www.w3.org/2001/XMLSchema" xmlns:xs="http://www.w3.org/2001/XMLSchema" xmlns:p="http://schemas.microsoft.com/office/2006/metadata/properties" xmlns:ns2="98e2fa2f-d490-4449-ba31-3bc0a1d77569" xmlns:ns3="a163881d-bd59-4387-ac8f-7df5ecb3760a" targetNamespace="http://schemas.microsoft.com/office/2006/metadata/properties" ma:root="true" ma:fieldsID="63744d6a03be14b2cf1360f42f0f04dc" ns2:_="" ns3:_="">
    <xsd:import namespace="98e2fa2f-d490-4449-ba31-3bc0a1d77569"/>
    <xsd:import namespace="a163881d-bd59-4387-ac8f-7df5ecb37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2fa2f-d490-4449-ba31-3bc0a1d77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1a7cdb2-7433-46ce-9315-cbaa9709b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3881d-bd59-4387-ac8f-7df5ecb37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e2fa2f-d490-4449-ba31-3bc0a1d775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89B513-8108-4B08-8D96-D2B80F0A0833}"/>
</file>

<file path=customXml/itemProps2.xml><?xml version="1.0" encoding="utf-8"?>
<ds:datastoreItem xmlns:ds="http://schemas.openxmlformats.org/officeDocument/2006/customXml" ds:itemID="{10742A44-4060-472C-9551-2C4CFB3B3769}"/>
</file>

<file path=customXml/itemProps3.xml><?xml version="1.0" encoding="utf-8"?>
<ds:datastoreItem xmlns:ds="http://schemas.openxmlformats.org/officeDocument/2006/customXml" ds:itemID="{503A1EE2-F099-4905-95DB-DFC7B7D5D5B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Giannis Efthymiou (Staff)</dc:creator>
  <keywords/>
  <dc:description/>
  <lastModifiedBy>Giannis Efthymiou (Staff)</lastModifiedBy>
  <revision>3</revision>
  <dcterms:created xsi:type="dcterms:W3CDTF">2024-09-22T16:30:00.0000000Z</dcterms:created>
  <dcterms:modified xsi:type="dcterms:W3CDTF">2024-10-02T10:06:36.9519138Z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0x010100FC72DB27F984C34381E98037502E7CF8</vt:lpwstr>
  </property>
  <property fmtid="{D5CDD505-2E9C-101B-9397-08002B2CF9AE}" pid="3" name="MediaServiceImageTags">
    <vt:lpwstr/>
  </property>
</Properties>
</file>